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37" w:rsidRPr="00C85B97" w:rsidRDefault="003A7237" w:rsidP="003A7237">
      <w:pPr>
        <w:spacing w:after="0" w:line="240" w:lineRule="auto"/>
        <w:jc w:val="right"/>
        <w:rPr>
          <w:rFonts w:ascii="Century" w:eastAsia="Times New Roman" w:hAnsi="Century" w:cs="Segoe UI"/>
          <w:b/>
          <w:bCs/>
          <w:iCs/>
          <w:color w:val="000000" w:themeColor="text1"/>
          <w:sz w:val="24"/>
          <w:szCs w:val="24"/>
        </w:rPr>
      </w:pPr>
      <w:r w:rsidRPr="00C85B97">
        <w:rPr>
          <w:rFonts w:ascii="Century" w:eastAsia="Times New Roman" w:hAnsi="Century" w:cs="Segoe UI"/>
          <w:b/>
          <w:bCs/>
          <w:iCs/>
          <w:color w:val="000000" w:themeColor="text1"/>
          <w:sz w:val="24"/>
          <w:szCs w:val="24"/>
        </w:rPr>
        <w:t>Пресс-релиз</w:t>
      </w:r>
    </w:p>
    <w:p w:rsidR="003A7237" w:rsidRPr="00C85B97" w:rsidRDefault="003A7237" w:rsidP="003A7237">
      <w:pPr>
        <w:spacing w:after="0" w:line="240" w:lineRule="auto"/>
        <w:jc w:val="right"/>
        <w:rPr>
          <w:rFonts w:ascii="Century" w:eastAsia="Times New Roman" w:hAnsi="Century" w:cs="Segoe UI"/>
          <w:b/>
          <w:bCs/>
          <w:iCs/>
          <w:color w:val="000000" w:themeColor="text1"/>
          <w:sz w:val="28"/>
          <w:szCs w:val="26"/>
        </w:rPr>
      </w:pPr>
      <w:r w:rsidRPr="00C85B97">
        <w:rPr>
          <w:rFonts w:ascii="Century" w:eastAsia="Times New Roman" w:hAnsi="Century" w:cs="Segoe UI"/>
          <w:b/>
          <w:bCs/>
          <w:iCs/>
          <w:color w:val="000000" w:themeColor="text1"/>
          <w:sz w:val="28"/>
          <w:szCs w:val="26"/>
        </w:rPr>
        <w:t>Электронные сервисы портала Росреестр: «Жизненные ситуации»</w:t>
      </w:r>
    </w:p>
    <w:p w:rsidR="003A7237" w:rsidRDefault="003A7237" w:rsidP="002238E3">
      <w:pPr>
        <w:spacing w:after="0" w:line="240" w:lineRule="auto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</w:p>
    <w:p w:rsidR="00D80F20" w:rsidRDefault="003A7237" w:rsidP="003A7237">
      <w:pPr>
        <w:spacing w:after="0" w:line="240" w:lineRule="auto"/>
        <w:ind w:firstLine="709"/>
        <w:jc w:val="both"/>
        <w:rPr>
          <w:rFonts w:ascii="Century" w:eastAsia="Times New Roman" w:hAnsi="Century" w:cs="Segoe UI"/>
          <w:bCs/>
          <w:iCs/>
          <w:color w:val="10354F"/>
          <w:sz w:val="24"/>
          <w:szCs w:val="24"/>
        </w:rPr>
      </w:pPr>
      <w:r>
        <w:rPr>
          <w:rFonts w:ascii="Century" w:eastAsia="Times New Roman" w:hAnsi="Century" w:cs="Segoe UI"/>
          <w:bCs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41275</wp:posOffset>
            </wp:positionV>
            <wp:extent cx="3804920" cy="1514475"/>
            <wp:effectExtent l="19050" t="0" r="5080" b="0"/>
            <wp:wrapTight wrapText="bothSides">
              <wp:wrapPolygon edited="0">
                <wp:start x="-108" y="0"/>
                <wp:lineTo x="-108" y="21464"/>
                <wp:lineTo x="21629" y="21464"/>
                <wp:lineTo x="21629" y="0"/>
                <wp:lineTo x="-108" y="0"/>
              </wp:wrapPolygon>
            </wp:wrapTight>
            <wp:docPr id="3" name="Рисунок 3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F20" w:rsidRPr="002238E3"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С недавнего времени на сайте Росреестра снова заработал уже знакомый многим пользователям сервис </w:t>
      </w:r>
      <w:hyperlink r:id="rId5" w:history="1">
        <w:r w:rsidR="00D80F20" w:rsidRPr="00D80F20">
          <w:rPr>
            <w:rStyle w:val="a3"/>
            <w:rFonts w:ascii="Century" w:eastAsia="Times New Roman" w:hAnsi="Century" w:cs="Segoe UI"/>
            <w:bCs/>
            <w:iCs/>
            <w:sz w:val="24"/>
            <w:szCs w:val="24"/>
          </w:rPr>
          <w:t>«Жизненные ситуации»</w:t>
        </w:r>
      </w:hyperlink>
      <w:r w:rsidR="00D80F20" w:rsidRPr="002238E3"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>,</w:t>
      </w:r>
      <w:r w:rsidR="00D80F20">
        <w:rPr>
          <w:rFonts w:ascii="Century" w:eastAsia="Times New Roman" w:hAnsi="Century" w:cs="Segoe UI"/>
          <w:bCs/>
          <w:iCs/>
          <w:color w:val="10354F"/>
          <w:sz w:val="24"/>
          <w:szCs w:val="24"/>
        </w:rPr>
        <w:t xml:space="preserve"> </w:t>
      </w:r>
      <w:r w:rsidR="00D80F20" w:rsidRPr="002238E3"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>позволяющий гражданам получить информацию по вопросам сделок с недвижимостью. Ссылку на него можно найти в разделах «Физическим лицам», «Юридическим лицам» и «Специалистам» в графе «Полезная информация». Доступ к сервису является бесплатным.</w:t>
      </w:r>
    </w:p>
    <w:p w:rsidR="002238E3" w:rsidRDefault="002238E3" w:rsidP="003A7237">
      <w:pPr>
        <w:spacing w:after="0" w:line="240" w:lineRule="auto"/>
        <w:ind w:firstLine="709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Чем полезен данный сервис? </w:t>
      </w:r>
    </w:p>
    <w:p w:rsidR="002238E3" w:rsidRDefault="002238E3" w:rsidP="003A7237">
      <w:pPr>
        <w:spacing w:after="0" w:line="240" w:lineRule="auto"/>
        <w:ind w:firstLine="709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С помощью «Жизненных ситуаций» можно получить информацию о </w:t>
      </w:r>
      <w:r w:rsidR="008C51C2"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пакете документов, </w:t>
      </w: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>необходимом для совершения</w:t>
      </w:r>
      <w:r w:rsidR="008C51C2"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 различных</w:t>
      </w: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 операций </w:t>
      </w:r>
      <w:r w:rsidR="008C51C2"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по </w:t>
      </w: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государственной регистрации </w:t>
      </w:r>
      <w:r w:rsidR="008C51C2"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>прав</w:t>
      </w: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 </w:t>
      </w:r>
      <w:r w:rsidR="008C51C2"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>и (</w:t>
      </w: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>или</w:t>
      </w:r>
      <w:r w:rsidR="008C51C2"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>) постановке</w:t>
      </w: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 на государственный кадастровый учет объекта недвижимости.</w:t>
      </w:r>
    </w:p>
    <w:p w:rsidR="002238E3" w:rsidRDefault="002238E3" w:rsidP="003A7237">
      <w:pPr>
        <w:spacing w:after="0" w:line="240" w:lineRule="auto"/>
        <w:ind w:firstLine="709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>Как это работает?</w:t>
      </w:r>
    </w:p>
    <w:p w:rsidR="00CC2BC9" w:rsidRDefault="002238E3" w:rsidP="003A7237">
      <w:pPr>
        <w:spacing w:after="0" w:line="240" w:lineRule="auto"/>
        <w:ind w:firstLine="709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На </w:t>
      </w:r>
      <w:hyperlink r:id="rId6" w:history="1">
        <w:r w:rsidRPr="002238E3">
          <w:rPr>
            <w:rStyle w:val="a3"/>
            <w:rFonts w:ascii="Century" w:eastAsia="Times New Roman" w:hAnsi="Century" w:cs="Segoe UI"/>
            <w:bCs/>
            <w:iCs/>
            <w:sz w:val="24"/>
            <w:szCs w:val="24"/>
          </w:rPr>
          <w:t>главной странице</w:t>
        </w:r>
      </w:hyperlink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 сервиса необходимо выбрать объект недвижимости, с которым заявитель собирается осуществлять регистрационные действия, из списка: жилой дом, земельный участок, квартира, комната в коммунальной квартире, нежилые здания, сооружения и помещения и т.д. Вторым шагом будет выбор операции: регистрация прав (дарение, купля-продажа, внесение изменений в записи ЕГРН, наследование) или кадастровый учет (исправление технических и (или) кадастровых ошибок в кадастровых сведениях, запрос сведений ГКН).</w:t>
      </w:r>
      <w:r w:rsidR="008C51C2"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 После сервис предложит список вопросов с вариантами ответов, чтобы конкретизиров</w:t>
      </w:r>
      <w:r w:rsidR="003A7237"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>ать ситуацию каждого заявителя. Количество вопросов будет колебаться от 2 до 8 шт. в зависимости от выбранного объекта недвижимости и необходимой операции.</w:t>
      </w:r>
    </w:p>
    <w:p w:rsidR="003A7237" w:rsidRDefault="003A7237" w:rsidP="003A7237">
      <w:pPr>
        <w:spacing w:after="0" w:line="240" w:lineRule="auto"/>
        <w:ind w:firstLine="709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>Выбор вариантов ответа займет несколько минут, в результате, пользователь получает информацию о полном наборе документов (в том числе, информацию о способах их получения), необходимых для проведения той или иной процедуры в отношении данного объекта недвижимости, а также о стоимости и сроках осуществления операций с недвижимостью.</w:t>
      </w:r>
    </w:p>
    <w:p w:rsidR="003A7237" w:rsidRDefault="003A7237" w:rsidP="003A7237">
      <w:pPr>
        <w:spacing w:after="0" w:line="240" w:lineRule="auto"/>
        <w:ind w:firstLine="709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  <w:r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  <w:t xml:space="preserve">Напоминаем, что на портале Росреестра функционирует ряд других бесплатных сервисов, найти их можно в разделах «Физическим лицам» и «Юридическим лицам». </w:t>
      </w:r>
    </w:p>
    <w:p w:rsidR="003A7237" w:rsidRDefault="003A7237" w:rsidP="003A7237">
      <w:pPr>
        <w:spacing w:after="0" w:line="240" w:lineRule="auto"/>
        <w:ind w:firstLine="709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</w:p>
    <w:p w:rsidR="003A7237" w:rsidRPr="003A7237" w:rsidRDefault="003A7237" w:rsidP="003A7237">
      <w:pPr>
        <w:spacing w:after="0" w:line="240" w:lineRule="auto"/>
        <w:ind w:firstLine="709"/>
        <w:jc w:val="right"/>
        <w:rPr>
          <w:rFonts w:ascii="Century" w:eastAsia="Times New Roman" w:hAnsi="Century" w:cs="Segoe UI"/>
          <w:bCs/>
          <w:i/>
          <w:iCs/>
          <w:color w:val="000000" w:themeColor="text1"/>
          <w:szCs w:val="24"/>
        </w:rPr>
      </w:pPr>
      <w:r w:rsidRPr="003A7237">
        <w:rPr>
          <w:rFonts w:ascii="Century" w:eastAsia="Times New Roman" w:hAnsi="Century" w:cs="Segoe UI"/>
          <w:bCs/>
          <w:i/>
          <w:iCs/>
          <w:color w:val="000000" w:themeColor="text1"/>
          <w:szCs w:val="24"/>
        </w:rPr>
        <w:t>Пресс-служба филиала ФГБУ «ФКП Росреестра» по Краснодарскому краю</w:t>
      </w:r>
    </w:p>
    <w:p w:rsidR="003A7237" w:rsidRDefault="003A7237" w:rsidP="00CC2BC9">
      <w:pPr>
        <w:spacing w:after="0" w:line="240" w:lineRule="auto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</w:p>
    <w:p w:rsidR="003A7237" w:rsidRDefault="003A7237" w:rsidP="00CC2BC9">
      <w:pPr>
        <w:spacing w:after="0" w:line="240" w:lineRule="auto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</w:p>
    <w:p w:rsidR="003A7237" w:rsidRDefault="003A7237" w:rsidP="00CC2BC9">
      <w:pPr>
        <w:spacing w:after="0" w:line="240" w:lineRule="auto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</w:p>
    <w:p w:rsidR="00CC2BC9" w:rsidRDefault="00CC2BC9" w:rsidP="00CC2BC9">
      <w:pPr>
        <w:spacing w:after="0" w:line="240" w:lineRule="auto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</w:p>
    <w:p w:rsidR="00CC2BC9" w:rsidRDefault="00CC2BC9" w:rsidP="00CC2BC9">
      <w:pPr>
        <w:spacing w:after="0" w:line="240" w:lineRule="auto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</w:p>
    <w:p w:rsidR="00CC2BC9" w:rsidRPr="00CC2BC9" w:rsidRDefault="00CC2BC9" w:rsidP="00CC2BC9">
      <w:pPr>
        <w:spacing w:after="0" w:line="240" w:lineRule="auto"/>
        <w:jc w:val="both"/>
        <w:rPr>
          <w:rFonts w:ascii="Century" w:eastAsia="Times New Roman" w:hAnsi="Century" w:cs="Segoe UI"/>
          <w:bCs/>
          <w:iCs/>
          <w:color w:val="000000" w:themeColor="text1"/>
          <w:sz w:val="24"/>
          <w:szCs w:val="24"/>
        </w:rPr>
      </w:pPr>
    </w:p>
    <w:sectPr w:rsidR="00CC2BC9" w:rsidRPr="00CC2BC9" w:rsidSect="00A7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13A"/>
    <w:rsid w:val="000A529D"/>
    <w:rsid w:val="002238E3"/>
    <w:rsid w:val="00317923"/>
    <w:rsid w:val="003A7237"/>
    <w:rsid w:val="00487053"/>
    <w:rsid w:val="0049613A"/>
    <w:rsid w:val="006964A5"/>
    <w:rsid w:val="00704D7C"/>
    <w:rsid w:val="0071498E"/>
    <w:rsid w:val="008C51C2"/>
    <w:rsid w:val="0095171E"/>
    <w:rsid w:val="0097148D"/>
    <w:rsid w:val="00A425D5"/>
    <w:rsid w:val="00A71656"/>
    <w:rsid w:val="00B30E04"/>
    <w:rsid w:val="00BB788B"/>
    <w:rsid w:val="00C85B97"/>
    <w:rsid w:val="00C91B97"/>
    <w:rsid w:val="00CC2BC9"/>
    <w:rsid w:val="00D80F20"/>
    <w:rsid w:val="00DB4A71"/>
    <w:rsid w:val="00E2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2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529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A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5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.rosreestr.ru/usecases.html" TargetMode="External"/><Relationship Id="rId5" Type="http://schemas.openxmlformats.org/officeDocument/2006/relationships/hyperlink" Target="http://ls.rosreestr.ru/usecase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7</cp:revision>
  <dcterms:created xsi:type="dcterms:W3CDTF">2017-04-14T12:35:00Z</dcterms:created>
  <dcterms:modified xsi:type="dcterms:W3CDTF">2017-05-03T13:50:00Z</dcterms:modified>
</cp:coreProperties>
</file>