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ind w:left="720"/>
        <w:jc w:val="center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Минэкономразвития напоминает предпринимателям о мерах господдержки и правах при госконтроле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считает важным в этот праз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 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серию вошли три ролика: «ПРОВЕРКИ: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ПРОСТО О ГЛАВНОМ» рассказывает </w:t>
        <w:br/>
        <w:t xml:space="preserve">о правах предпринимателя при проведении проверок, «ПРЕДПРИНИМАТЕЛЮ </w:t>
        <w:br/>
        <w:t xml:space="preserve"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бизнеса.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Общий хронометраж трех роликов составляет 8 минут. За это время предприниматель сможет ознакомиться с алгоритмами действий после получения уведомлен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ия о проведении проверки или предостережения от контрольного органа, узнает, что бизнесмену следует делать при несогласии с предостережением, как именно будет проходить проверка, действие каких документов продлено автоматически на 2023 год и многое другое.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*Минэкономразвития рекомендует органам исполнительной власти поддержать публикацию полезных социальных роликов и присоединяться к сообществу </w:t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Телеграм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-канала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  <w:t xml:space="preserve">«</w:t>
      </w:r>
      <w:hyperlink r:id="rId8" w:tooltip="https://t.me/masterskaya_knd" w:history="1">
        <w:r>
          <w:rPr>
            <w:rStyle w:val="643"/>
            <w:rFonts w:ascii="Times New Roman" w:hAnsi="Times New Roman"/>
            <w:color w:val="000000" w:themeColor="text1"/>
            <w:sz w:val="24"/>
            <w:szCs w:val="24"/>
            <w:highlight w:val="white"/>
            <w:u w:val="none"/>
          </w:rPr>
          <w:t xml:space="preserve">Мастерская контроля</w:t>
        </w:r>
        <w:r>
          <w:rPr>
            <w:rStyle w:val="643"/>
            <w:rFonts w:ascii="Times New Roman" w:hAnsi="Times New Roman"/>
            <w:color w:val="000000" w:themeColor="text1"/>
            <w:sz w:val="24"/>
            <w:szCs w:val="24"/>
            <w:highlight w:val="none"/>
            <w:u w:val="none"/>
          </w:rPr>
          <w:t xml:space="preserve">»</w:t>
        </w:r>
      </w:hyperlink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обсуждения лучших практик в сфере контроля (надзора). 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размещении видеороликов можно также использовать справочную информацию </w:t>
        <w:br/>
        <w:t xml:space="preserve">о проверках, профилактических мероприятиях и мерах государственной поддержки.  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XO Thames" w:hAnsi="XO Thames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проверках</w:t>
      </w:r>
      <w:r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Госуслуги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» пришло уведомления о проведении проверки. Узнать о правах предпринимателя при проверке поможет видеоролик Минэкономразвития России.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XO Thames" w:hAnsi="XO Thames"/>
          <w:color w:val="000000" w:themeColor="text1"/>
          <w:sz w:val="24"/>
          <w:szCs w:val="24"/>
        </w:rPr>
      </w:pPr>
      <w:r>
        <w:rPr>
          <w:rFonts w:ascii="XO Thames" w:hAnsi="XO Thames"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  <w:r>
        <w:rPr>
          <w:color w:val="000000" w:themeColor="text1"/>
          <w:sz w:val="24"/>
          <w:szCs w:val="24"/>
        </w:rPr>
      </w:r>
    </w:p>
    <w:p>
      <w:pPr>
        <w:pStyle w:val="626"/>
        <w:ind w:firstLine="360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Одна из наиболее заметных тенденций 2022 года — стремительный рост использования инструментов профилактики после введения моратория на проверки, в том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color w:val="000000" w:themeColor="text1"/>
          <w:sz w:val="24"/>
          <w:szCs w:val="24"/>
        </w:rPr>
      </w:pPr>
      <w:r>
        <w:rPr>
          <w:rFonts w:ascii="XO Thames" w:hAnsi="XO Thames"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b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мерах государственной поддержки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1.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 xml:space="preserve">Разрешительная деятельность и лицензирование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Продление на 12 месяцев отдельных срочных разрешений, сроки действия которых истекают в 2023 году (например, лицензии на теле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Право ведомств принимать решения, упрощающ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Не требуется переоформлять разрешения в случае переименования юр. лица, изменения наименования географического объекта.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Не требуется оплата гос. пошлин в рамках лицензирования.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Некоторые особенности разрешительной деятельности в отдель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ных сферах (например, ускоренная регистрации лекарственных средств для ветеринарного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* более подробно можно посмотреть какие изменения были внесены постановлением Правите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2.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 xml:space="preserve">Мораторий на проверки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3.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Упрощение оценки соответствия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bookmarkStart w:id="0" w:name="_GoBack"/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  <w:szCs w:val="24"/>
        </w:rPr>
        <w:br/>
        <w:t xml:space="preserve">о соответствии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продукции на основании доказательств ее безопасности, имеющихся у импортера, производителя, поставщика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(п.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6 Приложения № 18 к постановлению Правительства Российской Федерации от 12 марта 2022 г. .№ 353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)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color w:val="000000" w:themeColor="text1"/>
          <w:highlight w:val="none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Продолжает действовать упрощенный порядок ввоза продукции на территорию Российской Федерации, в том числе в части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</w:t>
      </w:r>
      <w:bookmarkEnd w:id="0"/>
      <w:r>
        <w:rPr>
          <w:color w:val="000000" w:themeColor="text1"/>
        </w:rPr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bCs/>
          <w:i/>
          <w:color w:val="000000" w:themeColor="text1"/>
          <w:sz w:val="24"/>
          <w:szCs w:val="24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2022 и 2023 года упрощены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процедуры аккредитации и подтверждения компетентности аккредитованных лиц, в том числе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путем проведения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выездных оценок в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удаленно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м формате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</w:r>
    </w:p>
    <w:p>
      <w:pPr>
        <w:pStyle w:val="626"/>
        <w:jc w:val="both"/>
        <w:spacing w:line="276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Также лабораториям предоставляется возможность расширения области аккредитации в ускоренном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режиме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. Срок процедуры сокращен до 30 рабочих дней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(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фактически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среднем услуга оказывается за 15 рабочих дней).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</w:r>
    </w:p>
    <w:p>
      <w:pPr>
        <w:jc w:val="both"/>
        <w:spacing w:before="240" w:after="240" w:line="240" w:lineRule="auto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pro black">
    <w:panose1 w:val="05040102010807070707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4"/>
    <w:link w:val="5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4"/>
    <w:link w:val="60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4"/>
    <w:link w:val="60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04"/>
    <w:link w:val="60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04"/>
    <w:link w:val="603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character" w:styleId="34">
    <w:name w:val="Title Char"/>
    <w:basedOn w:val="604"/>
    <w:link w:val="652"/>
    <w:uiPriority w:val="10"/>
    <w:rPr>
      <w:sz w:val="48"/>
      <w:szCs w:val="48"/>
    </w:rPr>
  </w:style>
  <w:style w:type="character" w:styleId="36">
    <w:name w:val="Subtitle Char"/>
    <w:basedOn w:val="604"/>
    <w:link w:val="650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04"/>
    <w:link w:val="655"/>
    <w:uiPriority w:val="99"/>
  </w:style>
  <w:style w:type="character" w:styleId="44">
    <w:name w:val="Footer Char"/>
    <w:basedOn w:val="604"/>
    <w:link w:val="658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8"/>
    <w:uiPriority w:val="99"/>
  </w:style>
  <w:style w:type="table" w:styleId="47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8f8f8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8f8f8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8f8f8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8f8f8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f8f8f8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f8f8f8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e0e0e0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1d1d1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69696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b2b2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f8f8f8" w:themeFill="accent1" w:themeFillTint="34"/>
    </w:tblPr>
    <w:tblStylePr w:type="band1Horz">
      <w:tcPr>
        <w:shd w:val="clear" w:color="ffffff" w:themeColor="accent1" w:themeTint="75" w:fill="efefef" w:themeFill="accent1" w:themeFillTint="75"/>
      </w:tcPr>
    </w:tblStylePr>
    <w:tblStylePr w:type="band1Vert">
      <w:tcPr>
        <w:shd w:val="clear" w:color="ffffff" w:themeColor="accent1" w:themeTint="75" w:fill="efefe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0f0f0" w:themeFill="accent2" w:themeFillTint="32"/>
    </w:tblPr>
    <w:tblStylePr w:type="band1Horz">
      <w:tcPr>
        <w:shd w:val="clear" w:color="ffffff" w:themeColor="accent2" w:themeTint="75" w:fill="dcdcdc" w:themeFill="accent2" w:themeFillTint="75"/>
      </w:tcPr>
    </w:tblStylePr>
    <w:tblStylePr w:type="band1Vert">
      <w:tcPr>
        <w:shd w:val="clear" w:color="ffffff" w:themeColor="accent2" w:themeTint="75" w:fill="dcdcd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b2b2b2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b2b2b2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eaea" w:themeFill="accent3" w:themeFillTint="34"/>
    </w:tblPr>
    <w:tblStylePr w:type="band1Horz">
      <w:tcPr>
        <w:shd w:val="clear" w:color="ffffff" w:themeColor="accent3" w:themeTint="75" w:fill="cfcfcf" w:themeFill="accent3" w:themeFillTint="75"/>
      </w:tcPr>
    </w:tblStylePr>
    <w:tblStylePr w:type="band1Vert">
      <w:tcPr>
        <w:shd w:val="clear" w:color="ffffff" w:themeColor="accent3" w:themeTint="75" w:fill="cfcfc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69696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69696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e5e5" w:themeFill="accent4" w:themeFillTint="34"/>
    </w:tblPr>
    <w:tblStylePr w:type="band1Horz">
      <w:tcPr>
        <w:shd w:val="clear" w:color="ffffff" w:themeColor="accent4" w:themeTint="75" w:fill="c5c5c5" w:themeFill="accent4" w:themeFillTint="75"/>
      </w:tcPr>
    </w:tblStylePr>
    <w:tblStylePr w:type="band1Vert">
      <w:tcPr>
        <w:shd w:val="clear" w:color="ffffff" w:themeColor="accent4" w:themeTint="75" w:fill="c5c5c5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808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808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dede" w:themeFill="accent5" w:themeFillTint="34"/>
    </w:tblPr>
    <w:tblStylePr w:type="band1Horz">
      <w:tcPr>
        <w:shd w:val="clear" w:color="ffffff" w:themeColor="accent5" w:themeTint="75" w:fill="b6b6b6" w:themeFill="accent5" w:themeFillTint="75"/>
      </w:tcPr>
    </w:tblStylePr>
    <w:tblStylePr w:type="band1Vert">
      <w:tcPr>
        <w:shd w:val="clear" w:color="ffffff" w:themeColor="accent5" w:themeTint="75" w:fill="b6b6b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dbdbdb" w:themeFill="accent6" w:themeFillTint="34"/>
    </w:tblPr>
    <w:tblStylePr w:type="band1Horz">
      <w:tcPr>
        <w:shd w:val="clear" w:color="ffffff" w:themeColor="accent6" w:themeTint="75" w:fill="adadad" w:themeFill="accent6" w:themeFillTint="75"/>
      </w:tcPr>
    </w:tblStylePr>
    <w:tblStylePr w:type="band1Vert">
      <w:tcPr>
        <w:shd w:val="clear" w:color="ffffff" w:themeColor="accent6" w:themeTint="75" w:fill="adadad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f8f8f8" w:themeFill="accent1" w:themeFillTint="34"/>
      </w:tcPr>
    </w:tblStylePr>
    <w:tblStylePr w:type="band1Vert">
      <w:tcPr>
        <w:shd w:val="clear" w:color="ffffff" w:themeColor="accent1" w:themeTint="34" w:fill="f8f8f8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8b8b8b" w:themeColor="accent1" w:themeTint="80" w:themeShade="95"/>
      </w:rPr>
    </w:tblStylePr>
    <w:tblStylePr w:type="firstRow">
      <w:rPr>
        <w:b/>
        <w:color w:val="8b8b8b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8b8b8b" w:themeColor="accent1" w:themeTint="80" w:themeShade="95"/>
      </w:rPr>
    </w:tblStylePr>
    <w:tblStylePr w:type="lastRow">
      <w:rPr>
        <w:b/>
        <w:color w:val="8b8b8b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0f0f0" w:themeFill="accent2" w:themeFillTint="32"/>
      </w:tcPr>
    </w:tblStylePr>
    <w:tblStylePr w:type="band1Vert">
      <w:tcPr>
        <w:shd w:val="clear" w:color="ffffff" w:themeColor="accent2" w:themeTint="32" w:fill="f0f0f0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eaea" w:themeFill="accent3" w:themeFillTint="34"/>
      </w:tcPr>
    </w:tblStylePr>
    <w:tblStylePr w:type="band1Vert">
      <w:tcPr>
        <w:shd w:val="clear" w:color="ffffff" w:themeColor="accent3" w:themeTint="34" w:fill="eaeaea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85858" w:themeColor="accent3" w:themeTint="FE" w:themeShade="95"/>
      </w:rPr>
    </w:tblStylePr>
    <w:tblStylePr w:type="firstRow">
      <w:rPr>
        <w:b/>
        <w:color w:val="585858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85858" w:themeColor="accent3" w:themeTint="FE" w:themeShade="95"/>
      </w:rPr>
    </w:tblStylePr>
    <w:tblStylePr w:type="lastRow">
      <w:rPr>
        <w:b/>
        <w:color w:val="585858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e5e5" w:themeFill="accent4" w:themeFillTint="34"/>
      </w:tcPr>
    </w:tblStylePr>
    <w:tblStylePr w:type="band1Vert">
      <w:tcPr>
        <w:shd w:val="clear" w:color="ffffff" w:themeColor="accent4" w:themeTint="34" w:fill="e5e5e5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edede" w:themeFill="accent5" w:themeFillTint="34"/>
      </w:tcPr>
    </w:tblStylePr>
    <w:tblStylePr w:type="band1Vert">
      <w:tcPr>
        <w:shd w:val="clear" w:color="ffffff" w:themeColor="accent5" w:themeTint="34" w:fill="dedede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83838" w:themeColor="accent5" w:themeShade="95"/>
      </w:rPr>
    </w:tblStylePr>
    <w:tblStylePr w:type="firstRow">
      <w:rPr>
        <w:b/>
        <w:color w:val="383838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383838" w:themeColor="accent5" w:themeShade="95"/>
      </w:rPr>
    </w:tblStylePr>
    <w:tblStylePr w:type="lastRow">
      <w:rPr>
        <w:b/>
        <w:color w:val="38383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dbdbdb" w:themeFill="accent6" w:themeFillTint="34"/>
      </w:tcPr>
    </w:tblStylePr>
    <w:tblStylePr w:type="band1Vert">
      <w:tcPr>
        <w:shd w:val="clear" w:color="ffffff" w:themeColor="accent6" w:themeTint="34" w:fill="dbdbdb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83838" w:themeColor="accent5" w:themeShade="95"/>
      </w:rPr>
    </w:tblStylePr>
    <w:tblStylePr w:type="firstRow">
      <w:rPr>
        <w:b/>
        <w:color w:val="383838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383838" w:themeColor="accent5" w:themeShade="95"/>
      </w:rPr>
    </w:tblStylePr>
    <w:tblStylePr w:type="lastRow">
      <w:rPr>
        <w:b/>
        <w:color w:val="38383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8b8b8b" w:themeColor="accent1" w:themeTint="80" w:themeShade="95"/>
        <w:sz w:val="22"/>
      </w:rPr>
      <w:tcPr>
        <w:shd w:val="clear" w:color="ffffff" w:themeColor="accent1" w:themeTint="34" w:fill="f8f8f8" w:themeFill="accent1" w:themeFillTint="34"/>
      </w:tcPr>
    </w:tblStylePr>
    <w:tblStylePr w:type="band1Vert">
      <w:tcPr>
        <w:shd w:val="clear" w:color="ffffff" w:themeColor="accent1" w:themeTint="34" w:fill="f8f8f8" w:themeFill="accent1" w:themeFillTint="34"/>
      </w:tcPr>
    </w:tblStylePr>
    <w:tblStylePr w:type="band2Horz">
      <w:rPr>
        <w:rFonts w:ascii="Arial" w:hAnsi="Arial"/>
        <w:color w:val="8b8b8b" w:themeColor="accent1" w:themeTint="80" w:themeShade="95"/>
        <w:sz w:val="22"/>
      </w:rPr>
    </w:tblStylePr>
    <w:tblStylePr w:type="firstCol">
      <w:rPr>
        <w:rFonts w:ascii="Arial" w:hAnsi="Arial"/>
        <w:i/>
        <w:color w:val="8b8b8b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8b8b8b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Color="accent2" w:themeTint="32" w:fill="f0f0f0" w:themeFill="accent2" w:themeFillTint="32"/>
      </w:tcPr>
    </w:tblStylePr>
    <w:tblStylePr w:type="band1Vert">
      <w:tcPr>
        <w:shd w:val="clear" w:color="ffffff" w:themeColor="accent2" w:themeTint="32" w:fill="f0f0f0" w:themeFill="accent2" w:themeFillTint="32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85858" w:themeColor="accent3" w:themeTint="FE" w:themeShade="95"/>
        <w:sz w:val="22"/>
      </w:rPr>
      <w:tcPr>
        <w:shd w:val="clear" w:color="ffffff" w:themeColor="accent3" w:themeTint="34" w:fill="eaeaea" w:themeFill="accent3" w:themeFillTint="34"/>
      </w:tcPr>
    </w:tblStylePr>
    <w:tblStylePr w:type="band1Vert">
      <w:tcPr>
        <w:shd w:val="clear" w:color="ffffff" w:themeColor="accent3" w:themeTint="34" w:fill="eaeaea" w:themeFill="accent3" w:themeFillTint="34"/>
      </w:tcPr>
    </w:tblStylePr>
    <w:tblStylePr w:type="band2Horz">
      <w:rPr>
        <w:rFonts w:ascii="Arial" w:hAnsi="Arial"/>
        <w:color w:val="585858" w:themeColor="accent3" w:themeTint="FE" w:themeShade="95"/>
        <w:sz w:val="22"/>
      </w:rPr>
    </w:tblStylePr>
    <w:tblStylePr w:type="firstCol">
      <w:rPr>
        <w:rFonts w:ascii="Arial" w:hAnsi="Arial"/>
        <w:i/>
        <w:color w:val="585858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85858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Color="accent4" w:themeTint="34" w:fill="e5e5e5" w:themeFill="accent4" w:themeFillTint="34"/>
      </w:tcPr>
    </w:tblStylePr>
    <w:tblStylePr w:type="band1Vert">
      <w:tcPr>
        <w:shd w:val="clear" w:color="ffffff" w:themeColor="accent4" w:themeTint="34" w:fill="e5e5e5" w:themeFill="accent4" w:themeFillTint="34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383838" w:themeColor="accent5" w:themeShade="95"/>
        <w:sz w:val="22"/>
      </w:rPr>
      <w:tcPr>
        <w:shd w:val="clear" w:color="ffffff" w:themeColor="accent5" w:themeTint="34" w:fill="dedede" w:themeFill="accent5" w:themeFillTint="34"/>
      </w:tcPr>
    </w:tblStylePr>
    <w:tblStylePr w:type="band1Vert">
      <w:tcPr>
        <w:shd w:val="clear" w:color="ffffff" w:themeColor="accent5" w:themeTint="34" w:fill="dedede" w:themeFill="accent5" w:themeFillTint="34"/>
      </w:tcPr>
    </w:tblStylePr>
    <w:tblStylePr w:type="band2Horz">
      <w:rPr>
        <w:rFonts w:ascii="Arial" w:hAnsi="Arial"/>
        <w:color w:val="383838" w:themeColor="accent5" w:themeShade="95"/>
        <w:sz w:val="22"/>
      </w:rPr>
    </w:tblStylePr>
    <w:tblStylePr w:type="firstCol">
      <w:rPr>
        <w:rFonts w:ascii="Arial" w:hAnsi="Arial"/>
        <w:i/>
        <w:color w:val="383838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383838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383838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83838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2d2d2d" w:themeColor="accent6" w:themeShade="95"/>
        <w:sz w:val="22"/>
      </w:rPr>
      <w:tcPr>
        <w:shd w:val="clear" w:color="ffffff" w:themeColor="accent6" w:themeTint="34" w:fill="dbdbdb" w:themeFill="accent6" w:themeFillTint="34"/>
      </w:tcPr>
    </w:tblStylePr>
    <w:tblStylePr w:type="band1Vert">
      <w:tcPr>
        <w:shd w:val="clear" w:color="ffffff" w:themeColor="accent6" w:themeTint="34" w:fill="dbdbdb" w:themeFill="accent6" w:themeFillTint="34"/>
      </w:tcPr>
    </w:tblStylePr>
    <w:tblStylePr w:type="band2Horz">
      <w:rPr>
        <w:rFonts w:ascii="Arial" w:hAnsi="Arial"/>
        <w:color w:val="2d2d2d" w:themeColor="accent6" w:themeShade="95"/>
        <w:sz w:val="22"/>
      </w:rPr>
    </w:tblStylePr>
    <w:tblStylePr w:type="firstCol">
      <w:rPr>
        <w:rFonts w:ascii="Arial" w:hAnsi="Arial"/>
        <w:i/>
        <w:color w:val="2d2d2d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2d2d2d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2d2d2d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d2d2d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f6f6f6" w:themeFill="accent1" w:themeFillTint="40"/>
      </w:tcPr>
    </w:tblStylePr>
    <w:tblStylePr w:type="band1Vert">
      <w:tcPr>
        <w:shd w:val="clear" w:color="ffffff" w:themeColor="accent1" w:themeTint="40" w:fill="f6f6f6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cecec" w:themeFill="accent2" w:themeFillTint="40"/>
      </w:tcPr>
    </w:tblStylePr>
    <w:tblStylePr w:type="band1Vert">
      <w:tcPr>
        <w:shd w:val="clear" w:color="ffffff" w:themeColor="accent2" w:themeTint="40" w:fill="ecece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5e5e5" w:themeFill="accent3" w:themeFillTint="40"/>
      </w:tcPr>
    </w:tblStylePr>
    <w:tblStylePr w:type="band1Vert">
      <w:tcPr>
        <w:shd w:val="clear" w:color="ffffff" w:themeColor="accent3" w:themeTint="40" w:fill="e5e5e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fdf" w:themeFill="accent4" w:themeFillTint="40"/>
      </w:tcPr>
    </w:tblStylePr>
    <w:tblStylePr w:type="band1Vert">
      <w:tcPr>
        <w:shd w:val="clear" w:color="ffffff" w:themeColor="accent4" w:themeTint="40" w:fill="dfdfd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7d7d7" w:themeFill="accent5" w:themeFillTint="40"/>
      </w:tcPr>
    </w:tblStylePr>
    <w:tblStylePr w:type="band1Vert">
      <w:tcPr>
        <w:shd w:val="clear" w:color="ffffff" w:themeColor="accent5" w:themeTint="40" w:fill="d7d7d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2d2d2" w:themeFill="accent6" w:themeFillTint="40"/>
      </w:tcPr>
    </w:tblStylePr>
    <w:tblStylePr w:type="band1Vert">
      <w:tcPr>
        <w:shd w:val="clear" w:color="ffffff" w:themeColor="accent6" w:themeTint="40" w:fill="d2d2d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6f6f6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6f6f6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cece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cecec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5e5e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5e5e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fd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fd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7d7d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7d7d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2d2d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2d2d2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1d1d1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0c0c0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b2b2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e9e9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959595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6f6f6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6f6f6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ddddd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cece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cece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b2b2b2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5e5e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5e5e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69696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fd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fd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808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7d7d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7d7d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f5f5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2d2d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2d2d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d4d4d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dddddd" w:themeFill="accent1"/>
    </w:tblPr>
    <w:tblStylePr w:type="band1Horz">
      <w:tcPr>
        <w:shd w:val="clear" w:color="ffffff" w:themeColor="accent1" w:fill="ddddd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ddddd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ddddd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ddddd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1d1d1" w:themeFill="accent2" w:themeFillTint="97"/>
    </w:tblPr>
    <w:tblStylePr w:type="band1Horz">
      <w:tcPr>
        <w:shd w:val="clear" w:color="ffffff" w:themeColor="accent2" w:themeTint="97" w:fill="d1d1d1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1d1d1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1d1d1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1d1d1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0c0c0" w:themeFill="accent3" w:themeFillTint="98"/>
    </w:tblPr>
    <w:tblStylePr w:type="band1Horz">
      <w:tcPr>
        <w:shd w:val="clear" w:color="ffffff" w:themeColor="accent3" w:themeTint="98" w:fill="c0c0c0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0c0c0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0c0c0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0c0c0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b2b2" w:themeFill="accent4" w:themeFillTint="9A"/>
    </w:tblPr>
    <w:tblStylePr w:type="band1Horz">
      <w:tcPr>
        <w:shd w:val="clear" w:color="ffffff" w:themeColor="accent4" w:themeTint="9A" w:fill="b2b2b2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b2b2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b2b2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b2b2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e9e9e" w:themeFill="accent5" w:themeFillTint="9A"/>
    </w:tblPr>
    <w:tblStylePr w:type="band1Horz">
      <w:tcPr>
        <w:shd w:val="clear" w:color="ffffff" w:themeColor="accent5" w:themeTint="9A" w:fill="9e9e9e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e9e9e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e9e9e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e9e9e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959595" w:themeFill="accent6" w:themeFillTint="98"/>
    </w:tblPr>
    <w:tblStylePr w:type="band1Horz">
      <w:tcPr>
        <w:shd w:val="clear" w:color="ffffff" w:themeColor="accent6" w:themeTint="98" w:fill="959595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959595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959595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959595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f6f6f6" w:themeFill="accent1" w:themeFillTint="40"/>
      </w:tcPr>
    </w:tblStylePr>
    <w:tblStylePr w:type="band1Vert">
      <w:tcPr>
        <w:shd w:val="clear" w:color="ffffff" w:themeColor="accent1" w:themeTint="40" w:fill="f6f6f6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18181" w:themeColor="accent1" w:themeShade="95"/>
      </w:rPr>
    </w:tblStylePr>
    <w:tblStylePr w:type="firstRow">
      <w:rPr>
        <w:b/>
        <w:color w:val="81818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818181" w:themeColor="accent1" w:themeShade="95"/>
      </w:rPr>
    </w:tblStylePr>
    <w:tblStylePr w:type="lastRow">
      <w:rPr>
        <w:b/>
        <w:color w:val="81818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cecec" w:themeFill="accent2" w:themeFillTint="40"/>
      </w:tcPr>
    </w:tblStylePr>
    <w:tblStylePr w:type="band1Vert">
      <w:tcPr>
        <w:shd w:val="clear" w:color="ffffff" w:themeColor="accent2" w:themeTint="40" w:fill="ececec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5e5e5" w:themeFill="accent3" w:themeFillTint="40"/>
      </w:tcPr>
    </w:tblStylePr>
    <w:tblStylePr w:type="band1Vert">
      <w:tcPr>
        <w:shd w:val="clear" w:color="ffffff" w:themeColor="accent3" w:themeTint="40" w:fill="e5e5e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07070" w:themeColor="accent3" w:themeTint="98" w:themeShade="95"/>
      </w:rPr>
    </w:tblStylePr>
    <w:tblStylePr w:type="firstRow">
      <w:rPr>
        <w:b/>
        <w:color w:val="707070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07070" w:themeColor="accent3" w:themeTint="98" w:themeShade="95"/>
      </w:rPr>
    </w:tblStylePr>
    <w:tblStylePr w:type="lastRow">
      <w:rPr>
        <w:b/>
        <w:color w:val="707070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fdf" w:themeFill="accent4" w:themeFillTint="40"/>
      </w:tcPr>
    </w:tblStylePr>
    <w:tblStylePr w:type="band1Vert">
      <w:tcPr>
        <w:shd w:val="clear" w:color="ffffff" w:themeColor="accent4" w:themeTint="40" w:fill="dfdfd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7d7d7" w:themeFill="accent5" w:themeFillTint="40"/>
      </w:tcPr>
    </w:tblStylePr>
    <w:tblStylePr w:type="band1Vert">
      <w:tcPr>
        <w:shd w:val="clear" w:color="ffffff" w:themeColor="accent5" w:themeTint="40" w:fill="d7d7d7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5c5c5c" w:themeColor="accent5" w:themeTint="9A" w:themeShade="95"/>
      </w:rPr>
    </w:tblStylePr>
    <w:tblStylePr w:type="firstRow">
      <w:rPr>
        <w:b/>
        <w:color w:val="5c5c5c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5c5c5c" w:themeColor="accent5" w:themeTint="9A" w:themeShade="95"/>
      </w:rPr>
    </w:tblStylePr>
    <w:tblStylePr w:type="lastRow">
      <w:rPr>
        <w:b/>
        <w:color w:val="5c5c5c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2d2d2" w:themeFill="accent6" w:themeFillTint="40"/>
      </w:tcPr>
    </w:tblStylePr>
    <w:tblStylePr w:type="band1Vert">
      <w:tcPr>
        <w:shd w:val="clear" w:color="ffffff" w:themeColor="accent6" w:themeTint="40" w:fill="d2d2d2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75757" w:themeColor="accent6" w:themeTint="98" w:themeShade="95"/>
      </w:rPr>
    </w:tblStylePr>
    <w:tblStylePr w:type="firstRow">
      <w:rPr>
        <w:b/>
        <w:color w:val="575757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75757" w:themeColor="accent6" w:themeTint="98" w:themeShade="95"/>
      </w:rPr>
    </w:tblStylePr>
    <w:tblStylePr w:type="lastRow">
      <w:rPr>
        <w:b/>
        <w:color w:val="575757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818181" w:themeColor="accent1" w:themeShade="95"/>
        <w:sz w:val="22"/>
      </w:rPr>
      <w:tcPr>
        <w:shd w:val="clear" w:color="ffffff" w:themeColor="accent1" w:themeTint="40" w:fill="f6f6f6" w:themeFill="accent1" w:themeFillTint="40"/>
      </w:tcPr>
    </w:tblStylePr>
    <w:tblStylePr w:type="band1Vert">
      <w:tcPr>
        <w:shd w:val="clear" w:color="ffffff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  <w:tblStylePr w:type="firstCol">
      <w:rPr>
        <w:rFonts w:ascii="Arial" w:hAnsi="Arial"/>
        <w:i/>
        <w:color w:val="81818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81818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818181" w:themeColor="accent1" w:themeShade="95"/>
        <w:sz w:val="22"/>
      </w:rPr>
    </w:tblStylePr>
  </w:style>
  <w:style w:type="table" w:styleId="147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Color="accent2" w:themeTint="40" w:fill="ececec" w:themeFill="accent2" w:themeFillTint="40"/>
      </w:tcPr>
    </w:tblStylePr>
    <w:tblStylePr w:type="band1Vert">
      <w:tcPr>
        <w:shd w:val="clear" w:color="ffffff" w:themeColor="accent2" w:themeTint="40" w:fill="ececec" w:themeFill="accent2" w:themeFillTint="40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a7a7a" w:themeColor="accent2" w:themeTint="97" w:themeShade="95"/>
        <w:sz w:val="22"/>
      </w:rPr>
    </w:tblStylePr>
  </w:style>
  <w:style w:type="table" w:styleId="148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07070" w:themeColor="accent3" w:themeTint="98" w:themeShade="95"/>
        <w:sz w:val="22"/>
      </w:rPr>
      <w:tcPr>
        <w:shd w:val="clear" w:color="ffffff" w:themeColor="accent3" w:themeTint="40" w:fill="e5e5e5" w:themeFill="accent3" w:themeFillTint="40"/>
      </w:tcPr>
    </w:tblStylePr>
    <w:tblStylePr w:type="band1Vert">
      <w:tcPr>
        <w:shd w:val="clear" w:color="ffffff" w:themeColor="accent3" w:themeTint="40" w:fill="e5e5e5" w:themeFill="accent3" w:themeFillTint="40"/>
      </w:tcPr>
    </w:tblStylePr>
    <w:tblStylePr w:type="band2Horz">
      <w:rPr>
        <w:rFonts w:ascii="Arial" w:hAnsi="Arial"/>
        <w:color w:val="707070" w:themeColor="accent3" w:themeTint="98" w:themeShade="95"/>
        <w:sz w:val="22"/>
      </w:rPr>
    </w:tblStylePr>
    <w:tblStylePr w:type="firstCol">
      <w:rPr>
        <w:rFonts w:ascii="Arial" w:hAnsi="Arial"/>
        <w:i/>
        <w:color w:val="707070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07070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07070" w:themeColor="accent3" w:themeTint="98" w:themeShade="95"/>
        <w:sz w:val="22"/>
      </w:rPr>
    </w:tblStylePr>
  </w:style>
  <w:style w:type="table" w:styleId="149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Color="accent4" w:themeTint="40" w:fill="dfdfdf" w:themeFill="accent4" w:themeFillTint="40"/>
      </w:tcPr>
    </w:tblStylePr>
    <w:tblStylePr w:type="band1Vert">
      <w:tcPr>
        <w:shd w:val="clear" w:color="ffffff" w:themeColor="accent4" w:themeTint="40" w:fill="dfdfdf" w:themeFill="accent4" w:themeFillTint="40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86868" w:themeColor="accent4" w:themeTint="9A" w:themeShade="95"/>
        <w:sz w:val="22"/>
      </w:rPr>
    </w:tblStylePr>
  </w:style>
  <w:style w:type="table" w:styleId="150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5c5c5c" w:themeColor="accent5" w:themeTint="9A" w:themeShade="95"/>
        <w:sz w:val="22"/>
      </w:rPr>
      <w:tcPr>
        <w:shd w:val="clear" w:color="ffffff" w:themeColor="accent5" w:themeTint="40" w:fill="d7d7d7" w:themeFill="accent5" w:themeFillTint="40"/>
      </w:tcPr>
    </w:tblStylePr>
    <w:tblStylePr w:type="band1Vert">
      <w:tcPr>
        <w:shd w:val="clear" w:color="ffffff" w:themeColor="accent5" w:themeTint="40" w:fill="d7d7d7" w:themeFill="accent5" w:themeFillTint="40"/>
      </w:tcPr>
    </w:tblStylePr>
    <w:tblStylePr w:type="band2Horz">
      <w:rPr>
        <w:rFonts w:ascii="Arial" w:hAnsi="Arial"/>
        <w:color w:val="5c5c5c" w:themeColor="accent5" w:themeTint="9A" w:themeShade="95"/>
        <w:sz w:val="22"/>
      </w:rPr>
    </w:tblStylePr>
    <w:tblStylePr w:type="firstCol">
      <w:rPr>
        <w:rFonts w:ascii="Arial" w:hAnsi="Arial"/>
        <w:i/>
        <w:color w:val="5c5c5c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5c5c5c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5c5c5c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c5c5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c5c5c" w:themeColor="accent5" w:themeTint="9A" w:themeShade="95"/>
        <w:sz w:val="22"/>
      </w:rPr>
    </w:tblStylePr>
  </w:style>
  <w:style w:type="table" w:styleId="151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75757" w:themeColor="accent6" w:themeTint="98" w:themeShade="95"/>
        <w:sz w:val="22"/>
      </w:rPr>
      <w:tcPr>
        <w:shd w:val="clear" w:color="ffffff" w:themeColor="accent6" w:themeTint="40" w:fill="d2d2d2" w:themeFill="accent6" w:themeFillTint="40"/>
      </w:tcPr>
    </w:tblStylePr>
    <w:tblStylePr w:type="band1Vert">
      <w:tcPr>
        <w:shd w:val="clear" w:color="ffffff" w:themeColor="accent6" w:themeTint="40" w:fill="d2d2d2" w:themeFill="accent6" w:themeFillTint="40"/>
      </w:tcPr>
    </w:tblStylePr>
    <w:tblStylePr w:type="band2Horz">
      <w:rPr>
        <w:rFonts w:ascii="Arial" w:hAnsi="Arial"/>
        <w:color w:val="575757" w:themeColor="accent6" w:themeTint="98" w:themeShade="95"/>
        <w:sz w:val="22"/>
      </w:rPr>
    </w:tblStylePr>
    <w:tblStylePr w:type="firstCol">
      <w:rPr>
        <w:rFonts w:ascii="Arial" w:hAnsi="Arial"/>
        <w:i/>
        <w:color w:val="575757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75757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75757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75757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75757" w:themeColor="accent6" w:themeTint="98" w:themeShade="95"/>
        <w:sz w:val="22"/>
      </w:rPr>
    </w:tblStylePr>
  </w:style>
  <w:style w:type="table" w:styleId="152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4f4f4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4f4f4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</w:style>
  <w:style w:type="table" w:styleId="154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</w:style>
  <w:style w:type="table" w:styleId="155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</w:style>
  <w:style w:type="table" w:styleId="156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</w:style>
  <w:style w:type="table" w:styleId="157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</w:style>
  <w:style w:type="table" w:styleId="158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</w:style>
  <w:style w:type="table" w:styleId="159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4f4f4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4f4f4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e0e0e0" w:themeFill="accent1" w:themeFillTint="EA"/>
      </w:tcPr>
    </w:tblStylePr>
  </w:style>
  <w:style w:type="table" w:styleId="161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0f0f0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1d1d1" w:themeFill="accent2" w:themeFillTint="97"/>
      </w:tcPr>
    </w:tblStylePr>
  </w:style>
  <w:style w:type="table" w:styleId="162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eae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69696" w:themeFill="accent3" w:themeFillTint="FE"/>
      </w:tcPr>
    </w:tblStylePr>
  </w:style>
  <w:style w:type="table" w:styleId="163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e5e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b2b2" w:themeFill="accent4" w:themeFillTint="9A"/>
      </w:tcPr>
    </w:tblStylePr>
  </w:style>
  <w:style w:type="table" w:styleId="164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edede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f5f5f" w:themeFill="accent5"/>
      </w:tcPr>
    </w:tblStylePr>
  </w:style>
  <w:style w:type="table" w:styleId="165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bdbdb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4d4d4d" w:themeFill="accent6"/>
      </w:tcPr>
    </w:tblStylePr>
  </w:style>
  <w:style w:type="table" w:styleId="166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4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4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link w:val="607"/>
    <w:qFormat/>
  </w:style>
  <w:style w:type="paragraph" w:styleId="599">
    <w:name w:val="Heading 1"/>
    <w:next w:val="598"/>
    <w:link w:val="629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00">
    <w:name w:val="Heading 2"/>
    <w:next w:val="598"/>
    <w:link w:val="657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01">
    <w:name w:val="Heading 3"/>
    <w:next w:val="598"/>
    <w:link w:val="61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02">
    <w:name w:val="Heading 4"/>
    <w:next w:val="598"/>
    <w:link w:val="654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03">
    <w:name w:val="Heading 5"/>
    <w:next w:val="598"/>
    <w:link w:val="628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Обычный1"/>
  </w:style>
  <w:style w:type="paragraph" w:styleId="608">
    <w:name w:val="toc 2"/>
    <w:next w:val="598"/>
    <w:link w:val="609"/>
    <w:uiPriority w:val="39"/>
    <w:pPr>
      <w:ind w:left="200"/>
    </w:pPr>
    <w:rPr>
      <w:rFonts w:ascii="XO Thames" w:hAnsi="XO Thames"/>
      <w:sz w:val="28"/>
    </w:rPr>
  </w:style>
  <w:style w:type="character" w:styleId="609" w:customStyle="1">
    <w:name w:val="Оглавление 2 Знак"/>
    <w:link w:val="608"/>
    <w:rPr>
      <w:rFonts w:ascii="XO Thames" w:hAnsi="XO Thames"/>
      <w:sz w:val="28"/>
    </w:rPr>
  </w:style>
  <w:style w:type="paragraph" w:styleId="610">
    <w:name w:val="toc 4"/>
    <w:next w:val="598"/>
    <w:link w:val="611"/>
    <w:uiPriority w:val="39"/>
    <w:pPr>
      <w:ind w:left="600"/>
    </w:pPr>
    <w:rPr>
      <w:rFonts w:ascii="XO Thames" w:hAnsi="XO Thames"/>
      <w:sz w:val="28"/>
    </w:rPr>
  </w:style>
  <w:style w:type="character" w:styleId="611" w:customStyle="1">
    <w:name w:val="Оглавление 4 Знак"/>
    <w:link w:val="610"/>
    <w:rPr>
      <w:rFonts w:ascii="XO Thames" w:hAnsi="XO Thames"/>
      <w:sz w:val="28"/>
    </w:rPr>
  </w:style>
  <w:style w:type="paragraph" w:styleId="612">
    <w:name w:val="toc 6"/>
    <w:next w:val="598"/>
    <w:link w:val="613"/>
    <w:uiPriority w:val="39"/>
    <w:pPr>
      <w:ind w:left="1000"/>
    </w:pPr>
    <w:rPr>
      <w:rFonts w:ascii="XO Thames" w:hAnsi="XO Thames"/>
      <w:sz w:val="28"/>
    </w:rPr>
  </w:style>
  <w:style w:type="character" w:styleId="613" w:customStyle="1">
    <w:name w:val="Оглавление 6 Знак"/>
    <w:link w:val="612"/>
    <w:rPr>
      <w:rFonts w:ascii="XO Thames" w:hAnsi="XO Thames"/>
      <w:sz w:val="28"/>
    </w:rPr>
  </w:style>
  <w:style w:type="paragraph" w:styleId="614">
    <w:name w:val="toc 7"/>
    <w:next w:val="598"/>
    <w:link w:val="615"/>
    <w:uiPriority w:val="39"/>
    <w:pPr>
      <w:ind w:left="1200"/>
    </w:pPr>
    <w:rPr>
      <w:rFonts w:ascii="XO Thames" w:hAnsi="XO Thames"/>
      <w:sz w:val="28"/>
    </w:rPr>
  </w:style>
  <w:style w:type="character" w:styleId="615" w:customStyle="1">
    <w:name w:val="Оглавление 7 Знак"/>
    <w:link w:val="614"/>
    <w:rPr>
      <w:rFonts w:ascii="XO Thames" w:hAnsi="XO Thames"/>
      <w:sz w:val="28"/>
    </w:rPr>
  </w:style>
  <w:style w:type="paragraph" w:styleId="616" w:customStyle="1">
    <w:name w:val="Default"/>
    <w:link w:val="617"/>
    <w:pPr>
      <w:spacing w:after="0" w:line="240" w:lineRule="auto"/>
    </w:pPr>
    <w:rPr>
      <w:rFonts w:ascii="Gotham Pro Black" w:hAnsi="Gotham Pro Black"/>
      <w:sz w:val="24"/>
    </w:rPr>
  </w:style>
  <w:style w:type="character" w:styleId="617" w:customStyle="1">
    <w:name w:val="Default"/>
    <w:link w:val="616"/>
    <w:rPr>
      <w:rFonts w:ascii="Gotham Pro Black" w:hAnsi="Gotham Pro Black"/>
      <w:sz w:val="24"/>
    </w:rPr>
  </w:style>
  <w:style w:type="character" w:styleId="618" w:customStyle="1">
    <w:name w:val="Заголовок 3 Знак"/>
    <w:link w:val="601"/>
    <w:rPr>
      <w:rFonts w:ascii="XO Thames" w:hAnsi="XO Thames"/>
      <w:b/>
      <w:sz w:val="26"/>
    </w:rPr>
  </w:style>
  <w:style w:type="paragraph" w:styleId="619" w:customStyle="1">
    <w:name w:val="A0"/>
    <w:link w:val="620"/>
    <w:rPr>
      <w:b/>
    </w:rPr>
  </w:style>
  <w:style w:type="character" w:styleId="620" w:customStyle="1">
    <w:name w:val="A0"/>
    <w:link w:val="619"/>
    <w:rPr>
      <w:b/>
    </w:rPr>
  </w:style>
  <w:style w:type="paragraph" w:styleId="621" w:customStyle="1">
    <w:name w:val="Обычный1"/>
    <w:link w:val="622"/>
  </w:style>
  <w:style w:type="character" w:styleId="622" w:customStyle="1">
    <w:name w:val="Обычный1"/>
    <w:link w:val="621"/>
  </w:style>
  <w:style w:type="paragraph" w:styleId="623">
    <w:name w:val="toc 3"/>
    <w:next w:val="598"/>
    <w:link w:val="624"/>
    <w:uiPriority w:val="39"/>
    <w:pPr>
      <w:ind w:left="400"/>
    </w:pPr>
    <w:rPr>
      <w:rFonts w:ascii="XO Thames" w:hAnsi="XO Thames"/>
      <w:sz w:val="28"/>
    </w:rPr>
  </w:style>
  <w:style w:type="character" w:styleId="624" w:customStyle="1">
    <w:name w:val="Оглавление 3 Знак"/>
    <w:link w:val="623"/>
    <w:rPr>
      <w:rFonts w:ascii="XO Thames" w:hAnsi="XO Thames"/>
      <w:sz w:val="28"/>
    </w:rPr>
  </w:style>
  <w:style w:type="paragraph" w:styleId="625" w:customStyle="1">
    <w:name w:val="Основной шрифт абзаца1"/>
  </w:style>
  <w:style w:type="paragraph" w:styleId="626">
    <w:name w:val="No Spacing"/>
    <w:link w:val="627"/>
    <w:pPr>
      <w:spacing w:after="0" w:line="240" w:lineRule="auto"/>
    </w:pPr>
  </w:style>
  <w:style w:type="character" w:styleId="627" w:customStyle="1">
    <w:name w:val="Без интервала Знак"/>
    <w:link w:val="626"/>
  </w:style>
  <w:style w:type="character" w:styleId="628" w:customStyle="1">
    <w:name w:val="Заголовок 5 Знак"/>
    <w:link w:val="603"/>
    <w:rPr>
      <w:rFonts w:ascii="XO Thames" w:hAnsi="XO Thames"/>
      <w:b/>
    </w:rPr>
  </w:style>
  <w:style w:type="character" w:styleId="629" w:customStyle="1">
    <w:name w:val="Заголовок 1 Знак"/>
    <w:link w:val="599"/>
    <w:rPr>
      <w:rFonts w:ascii="XO Thames" w:hAnsi="XO Thames"/>
      <w:b/>
      <w:sz w:val="32"/>
    </w:rPr>
  </w:style>
  <w:style w:type="paragraph" w:styleId="630" w:customStyle="1">
    <w:name w:val="Гиперссылка1"/>
    <w:link w:val="631"/>
    <w:rPr>
      <w:color w:val="0000ff"/>
      <w:u w:val="single"/>
    </w:rPr>
  </w:style>
  <w:style w:type="character" w:styleId="631">
    <w:name w:val="Hyperlink"/>
    <w:link w:val="630"/>
    <w:rPr>
      <w:color w:val="0000ff"/>
      <w:u w:val="single"/>
    </w:rPr>
  </w:style>
  <w:style w:type="paragraph" w:styleId="632" w:customStyle="1">
    <w:name w:val="Footnote"/>
    <w:link w:val="633"/>
    <w:pPr>
      <w:ind w:firstLine="851"/>
      <w:jc w:val="both"/>
    </w:pPr>
    <w:rPr>
      <w:rFonts w:ascii="XO Thames" w:hAnsi="XO Thames"/>
    </w:rPr>
  </w:style>
  <w:style w:type="character" w:styleId="633" w:customStyle="1">
    <w:name w:val="Footnote"/>
    <w:link w:val="632"/>
    <w:rPr>
      <w:rFonts w:ascii="XO Thames" w:hAnsi="XO Thames"/>
    </w:rPr>
  </w:style>
  <w:style w:type="paragraph" w:styleId="634">
    <w:name w:val="toc 1"/>
    <w:next w:val="598"/>
    <w:link w:val="635"/>
    <w:uiPriority w:val="39"/>
    <w:rPr>
      <w:rFonts w:ascii="XO Thames" w:hAnsi="XO Thames"/>
      <w:b/>
      <w:sz w:val="28"/>
    </w:rPr>
  </w:style>
  <w:style w:type="character" w:styleId="635" w:customStyle="1">
    <w:name w:val="Оглавление 1 Знак"/>
    <w:link w:val="634"/>
    <w:rPr>
      <w:rFonts w:ascii="XO Thames" w:hAnsi="XO Thames"/>
      <w:b/>
      <w:sz w:val="28"/>
    </w:rPr>
  </w:style>
  <w:style w:type="paragraph" w:styleId="636" w:customStyle="1">
    <w:name w:val="Header and Footer"/>
    <w:link w:val="637"/>
    <w:pPr>
      <w:jc w:val="both"/>
      <w:spacing w:line="240" w:lineRule="auto"/>
    </w:pPr>
    <w:rPr>
      <w:rFonts w:ascii="XO Thames" w:hAnsi="XO Thames"/>
      <w:sz w:val="20"/>
    </w:rPr>
  </w:style>
  <w:style w:type="character" w:styleId="637" w:customStyle="1">
    <w:name w:val="Header and Footer"/>
    <w:link w:val="636"/>
    <w:rPr>
      <w:rFonts w:ascii="XO Thames" w:hAnsi="XO Thames"/>
      <w:sz w:val="20"/>
    </w:rPr>
  </w:style>
  <w:style w:type="paragraph" w:styleId="638">
    <w:name w:val="toc 9"/>
    <w:next w:val="598"/>
    <w:link w:val="639"/>
    <w:uiPriority w:val="39"/>
    <w:pPr>
      <w:ind w:left="1600"/>
    </w:pPr>
    <w:rPr>
      <w:rFonts w:ascii="XO Thames" w:hAnsi="XO Thames"/>
      <w:sz w:val="28"/>
    </w:rPr>
  </w:style>
  <w:style w:type="character" w:styleId="639" w:customStyle="1">
    <w:name w:val="Оглавление 9 Знак"/>
    <w:link w:val="638"/>
    <w:rPr>
      <w:rFonts w:ascii="XO Thames" w:hAnsi="XO Thames"/>
      <w:sz w:val="28"/>
    </w:rPr>
  </w:style>
  <w:style w:type="paragraph" w:styleId="640" w:customStyle="1">
    <w:name w:val="Основной шрифт абзаца1"/>
    <w:link w:val="641"/>
  </w:style>
  <w:style w:type="character" w:styleId="641" w:customStyle="1">
    <w:name w:val="Основной шрифт абзаца1"/>
    <w:link w:val="640"/>
  </w:style>
  <w:style w:type="paragraph" w:styleId="642" w:customStyle="1">
    <w:name w:val="Гиперссылка1"/>
    <w:basedOn w:val="640"/>
    <w:link w:val="643"/>
    <w:rPr>
      <w:color w:val="0563c1" w:themeColor="hyperlink"/>
      <w:u w:val="single"/>
    </w:rPr>
  </w:style>
  <w:style w:type="character" w:styleId="643" w:customStyle="1">
    <w:name w:val="Гиперссылка1"/>
    <w:basedOn w:val="641"/>
    <w:link w:val="642"/>
    <w:rPr>
      <w:color w:val="0563c1" w:themeColor="hyperlink"/>
      <w:u w:val="single"/>
    </w:rPr>
  </w:style>
  <w:style w:type="paragraph" w:styleId="644" w:customStyle="1">
    <w:name w:val="Выделение1"/>
    <w:basedOn w:val="640"/>
    <w:link w:val="645"/>
    <w:rPr>
      <w:i/>
    </w:rPr>
  </w:style>
  <w:style w:type="character" w:styleId="645" w:customStyle="1">
    <w:name w:val="Выделение1"/>
    <w:basedOn w:val="641"/>
    <w:link w:val="644"/>
    <w:rPr>
      <w:i/>
    </w:rPr>
  </w:style>
  <w:style w:type="paragraph" w:styleId="646">
    <w:name w:val="toc 8"/>
    <w:next w:val="598"/>
    <w:link w:val="647"/>
    <w:uiPriority w:val="39"/>
    <w:pPr>
      <w:ind w:left="1400"/>
    </w:pPr>
    <w:rPr>
      <w:rFonts w:ascii="XO Thames" w:hAnsi="XO Thames"/>
      <w:sz w:val="28"/>
    </w:rPr>
  </w:style>
  <w:style w:type="character" w:styleId="647" w:customStyle="1">
    <w:name w:val="Оглавление 8 Знак"/>
    <w:link w:val="646"/>
    <w:rPr>
      <w:rFonts w:ascii="XO Thames" w:hAnsi="XO Thames"/>
      <w:sz w:val="28"/>
    </w:rPr>
  </w:style>
  <w:style w:type="paragraph" w:styleId="648">
    <w:name w:val="toc 5"/>
    <w:next w:val="598"/>
    <w:link w:val="649"/>
    <w:uiPriority w:val="39"/>
    <w:pPr>
      <w:ind w:left="800"/>
    </w:pPr>
    <w:rPr>
      <w:rFonts w:ascii="XO Thames" w:hAnsi="XO Thames"/>
      <w:sz w:val="28"/>
    </w:rPr>
  </w:style>
  <w:style w:type="character" w:styleId="649" w:customStyle="1">
    <w:name w:val="Оглавление 5 Знак"/>
    <w:link w:val="648"/>
    <w:rPr>
      <w:rFonts w:ascii="XO Thames" w:hAnsi="XO Thames"/>
      <w:sz w:val="28"/>
    </w:rPr>
  </w:style>
  <w:style w:type="paragraph" w:styleId="650">
    <w:name w:val="Subtitle"/>
    <w:next w:val="598"/>
    <w:link w:val="651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51" w:customStyle="1">
    <w:name w:val="Подзаголовок Знак"/>
    <w:link w:val="650"/>
    <w:rPr>
      <w:rFonts w:ascii="XO Thames" w:hAnsi="XO Thames"/>
      <w:i/>
      <w:sz w:val="24"/>
    </w:rPr>
  </w:style>
  <w:style w:type="paragraph" w:styleId="652">
    <w:name w:val="Title"/>
    <w:next w:val="598"/>
    <w:link w:val="65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53" w:customStyle="1">
    <w:name w:val="Заголовок Знак"/>
    <w:link w:val="652"/>
    <w:rPr>
      <w:rFonts w:ascii="XO Thames" w:hAnsi="XO Thames"/>
      <w:b/>
      <w:caps/>
      <w:sz w:val="40"/>
    </w:rPr>
  </w:style>
  <w:style w:type="character" w:styleId="654" w:customStyle="1">
    <w:name w:val="Заголовок 4 Знак"/>
    <w:link w:val="602"/>
    <w:rPr>
      <w:rFonts w:ascii="XO Thames" w:hAnsi="XO Thames"/>
      <w:b/>
      <w:sz w:val="24"/>
    </w:rPr>
  </w:style>
  <w:style w:type="paragraph" w:styleId="655">
    <w:name w:val="Header"/>
    <w:basedOn w:val="598"/>
    <w:link w:val="65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07"/>
    <w:link w:val="655"/>
  </w:style>
  <w:style w:type="character" w:styleId="657" w:customStyle="1">
    <w:name w:val="Заголовок 2 Знак"/>
    <w:link w:val="600"/>
    <w:rPr>
      <w:rFonts w:ascii="XO Thames" w:hAnsi="XO Thames"/>
      <w:b/>
      <w:sz w:val="28"/>
    </w:rPr>
  </w:style>
  <w:style w:type="paragraph" w:styleId="658">
    <w:name w:val="Footer"/>
    <w:basedOn w:val="598"/>
    <w:link w:val="65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9" w:customStyle="1">
    <w:name w:val="Нижний колонтитул Знак"/>
    <w:basedOn w:val="607"/>
    <w:link w:val="65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t.me/masterskaya_kn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Мастерская контроля</cp:lastModifiedBy>
  <cp:revision>4</cp:revision>
  <dcterms:created xsi:type="dcterms:W3CDTF">2023-05-17T14:26:00Z</dcterms:created>
  <dcterms:modified xsi:type="dcterms:W3CDTF">2023-05-18T10:54:06Z</dcterms:modified>
</cp:coreProperties>
</file>